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B2A4A"/>
          <w:sz w:val="28"/>
          <w:szCs w:val="28"/>
        </w:rPr>
        <w:t xml:space="preserve">AION SYNAPSE FOUNDATION</w:t>
      </w:r>
    </w:p>
    <w:p>
      <w:pPr>
        <w:spacing w:after="200"/>
        <w:jc w:val="center"/>
      </w:pPr>
      <w:r>
        <w:rPr>
          <w:rFonts w:ascii="Calibri" w:cs="Calibri" w:eastAsia="Calibri" w:hAnsi="Calibri"/>
          <w:b/>
          <w:bCs/>
          <w:color w:val="1B2A4A"/>
          <w:sz w:val="34"/>
          <w:szCs w:val="34"/>
        </w:rPr>
        <w:t xml:space="preserve">AION GLOBAL AMBASSADOR PROGRAMME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337"/>
        <w:gridCol w:w="2338"/>
        <w:gridCol w:w="2337"/>
        <w:gridCol w:w="2338"/>
      </w:tblGrid>
      <w:tr>
        <w:tc>
          <w:tcPr>
            <w:tcW w:type="dxa" w:w="2337"/>
            <w:shd w:fill="F2F2F2" w:color="auto" w:val="clear"/>
            <w:tcMar>
              <w:top w:type="dxa" w:w="80"/>
              <w:left w:type="dxa" w:w="100"/>
              <w:bottom w:type="dxa" w:w="80"/>
              <w:right w:type="dxa" w:w="100"/>
            </w:tcMar>
          </w:tcPr>
          <w:p>
            <w:r>
              <w:rPr>
                <w:rFonts w:ascii="Calibri" w:cs="Calibri" w:eastAsia="Calibri" w:hAnsi="Calibri"/>
                <w:b/>
                <w:bCs/>
                <w:color w:val="1B2A4A"/>
                <w:sz w:val="15"/>
                <w:szCs w:val="15"/>
              </w:rPr>
              <w:t xml:space="preserve">CODE</w:t>
            </w:r>
          </w:p>
          <w:p>
            <w:r>
              <w:rPr>
                <w:rFonts w:ascii="Calibri" w:cs="Calibri" w:eastAsia="Calibri" w:hAnsi="Calibri"/>
                <w:sz w:val="18"/>
                <w:szCs w:val="18"/>
              </w:rPr>
              <w:t xml:space="preserve">AION-ASF-EMB-001</w:t>
            </w:r>
          </w:p>
        </w:tc>
        <w:tc>
          <w:tcPr>
            <w:tcW w:type="dxa" w:w="2337"/>
            <w:shd w:fill="F2F2F2" w:color="auto" w:val="clear"/>
            <w:tcMar>
              <w:top w:type="dxa" w:w="80"/>
              <w:left w:type="dxa" w:w="100"/>
              <w:bottom w:type="dxa" w:w="80"/>
              <w:right w:type="dxa" w:w="100"/>
            </w:tcMar>
          </w:tcPr>
          <w:p>
            <w:r>
              <w:rPr>
                <w:rFonts w:ascii="Calibri" w:cs="Calibri" w:eastAsia="Calibri" w:hAnsi="Calibri"/>
                <w:b/>
                <w:bCs/>
                <w:color w:val="1B2A4A"/>
                <w:sz w:val="15"/>
                <w:szCs w:val="15"/>
              </w:rPr>
              <w:t xml:space="preserve">VERSION</w:t>
            </w:r>
          </w:p>
          <w:p>
            <w:r>
              <w:rPr>
                <w:rFonts w:ascii="Calibri" w:cs="Calibri" w:eastAsia="Calibri" w:hAnsi="Calibri"/>
                <w:sz w:val="18"/>
                <w:szCs w:val="18"/>
              </w:rPr>
              <w:t xml:space="preserve">2.1</w:t>
            </w:r>
          </w:p>
        </w:tc>
        <w:tc>
          <w:tcPr>
            <w:tcW w:type="dxa" w:w="2337"/>
            <w:shd w:fill="F2F2F2" w:color="auto" w:val="clear"/>
            <w:tcMar>
              <w:top w:type="dxa" w:w="80"/>
              <w:left w:type="dxa" w:w="100"/>
              <w:bottom w:type="dxa" w:w="80"/>
              <w:right w:type="dxa" w:w="100"/>
            </w:tcMar>
          </w:tcPr>
          <w:p>
            <w:r>
              <w:rPr>
                <w:rFonts w:ascii="Calibri" w:cs="Calibri" w:eastAsia="Calibri" w:hAnsi="Calibri"/>
                <w:b/>
                <w:bCs/>
                <w:color w:val="1B2A4A"/>
                <w:sz w:val="15"/>
                <w:szCs w:val="15"/>
              </w:rPr>
              <w:t xml:space="preserve">DATE</w:t>
            </w:r>
          </w:p>
          <w:p>
            <w:r>
              <w:rPr>
                <w:rFonts w:ascii="Calibri" w:cs="Calibri" w:eastAsia="Calibri" w:hAnsi="Calibri"/>
                <w:sz w:val="18"/>
                <w:szCs w:val="18"/>
              </w:rPr>
              <w:t xml:space="preserve">17 July 2026</w:t>
            </w:r>
          </w:p>
        </w:tc>
        <w:tc>
          <w:tcPr>
            <w:tcW w:type="dxa" w:w="2337"/>
            <w:shd w:fill="F2F2F2" w:color="auto" w:val="clear"/>
            <w:tcMar>
              <w:top w:type="dxa" w:w="80"/>
              <w:left w:type="dxa" w:w="100"/>
              <w:bottom w:type="dxa" w:w="80"/>
              <w:right w:type="dxa" w:w="100"/>
            </w:tcMar>
          </w:tcPr>
          <w:p>
            <w:r>
              <w:rPr>
                <w:rFonts w:ascii="Calibri" w:cs="Calibri" w:eastAsia="Calibri" w:hAnsi="Calibri"/>
                <w:b/>
                <w:bCs/>
                <w:color w:val="1B2A4A"/>
                <w:sz w:val="15"/>
                <w:szCs w:val="15"/>
              </w:rPr>
              <w:t xml:space="preserve">CLASSIFICATION</w:t>
            </w:r>
          </w:p>
          <w:p>
            <w:r>
              <w:rPr>
                <w:rFonts w:ascii="Calibri" w:cs="Calibri" w:eastAsia="Calibri" w:hAnsi="Calibri"/>
                <w:sz w:val="18"/>
                <w:szCs w:val="18"/>
              </w:rPr>
              <w:t xml:space="preserve">Institutional Document</w:t>
            </w:r>
          </w:p>
        </w:tc>
      </w:tr>
    </w:tbl>
    <w:p>
      <w:pPr>
        <w:shd w:fill="2F4858" w:color="auto" w:val="clear"/>
        <w:spacing w:after="300" w:before="120"/>
        <w:jc w:val="center"/>
      </w:pPr>
      <w:r>
        <w:rPr>
          <w:rFonts w:ascii="Calibri" w:cs="Calibri" w:eastAsia="Calibri" w:hAnsi="Calibri"/>
          <w:b/>
          <w:bCs/>
          <w:color w:val="FFFFFF"/>
          <w:sz w:val="18"/>
          <w:szCs w:val="18"/>
        </w:rPr>
        <w:t xml:space="preserve">INSTITUTIONAL DOCUMENT — AION SYNAPSE FOUNDATION</w:t>
      </w:r>
    </w:p>
    <w:p>
      <w:pPr>
        <w:pStyle w:val="Heading1"/>
        <w:pBdr>
          <w:bottom w:val="single" w:color="B08D3E" w:sz="6" w:space="4"/>
        </w:pBdr>
        <w:spacing w:after="160" w:before="360"/>
      </w:pPr>
      <w:r>
        <w:rPr>
          <w:rFonts w:ascii="Calibri" w:cs="Calibri" w:eastAsia="Calibri" w:hAnsi="Calibri"/>
          <w:b/>
          <w:bCs/>
          <w:color w:val="1B2A4A"/>
          <w:sz w:val="26"/>
          <w:szCs w:val="26"/>
        </w:rPr>
        <w:t xml:space="preserve">1. Introduction</w:t>
      </w:r>
    </w:p>
    <w:p>
      <w:pPr>
        <w:spacing w:after="160" w:line="300"/>
        <w:jc w:val="both"/>
      </w:pPr>
      <w:r>
        <w:rPr>
          <w:rFonts w:ascii="Calibri" w:cs="Calibri" w:eastAsia="Calibri" w:hAnsi="Calibri"/>
          <w:sz w:val="21"/>
          <w:szCs w:val="21"/>
        </w:rPr>
        <w:t xml:space="preserve">The AION Global Ambassador Programme is an institutional initiative of AION Synapse Foundation established to build an international community of individuals committed to advancing science, research, innovation, international cooperation and sustainable development.</w:t>
      </w:r>
    </w:p>
    <w:p>
      <w:pPr>
        <w:spacing w:after="160" w:line="300"/>
        <w:jc w:val="both"/>
      </w:pPr>
      <w:r>
        <w:rPr>
          <w:rFonts w:ascii="Calibri" w:cs="Calibri" w:eastAsia="Calibri" w:hAnsi="Calibri"/>
          <w:sz w:val="21"/>
          <w:szCs w:val="21"/>
        </w:rPr>
        <w:t xml:space="preserve">The Programme brings together professionals, science communicators, content creators, communicators, researchers, opinion leaders, entrepreneurs, institutional representatives and other individuals capable of generating a positive impact within their communities, turning them into strategic allies of the Foundation to strengthen the visibility, reach and international profile of its programmes and initiatives.</w:t>
      </w:r>
    </w:p>
    <w:p>
      <w:pPr>
        <w:spacing w:after="160" w:line="300"/>
        <w:jc w:val="both"/>
      </w:pPr>
      <w:r>
        <w:rPr>
          <w:rFonts w:ascii="Calibri" w:cs="Calibri" w:eastAsia="Calibri" w:hAnsi="Calibri"/>
          <w:sz w:val="21"/>
          <w:szCs w:val="21"/>
        </w:rPr>
        <w:t xml:space="preserve">Rather than a network of institutional representation, the Programme constitutes a global community of collaboration aimed at connecting people, knowledge and initiatives that contribute to strengthening the international ecosystem driven by AION Synapse Foundation.</w:t>
      </w:r>
    </w:p>
    <w:p>
      <w:pPr>
        <w:pStyle w:val="Heading1"/>
        <w:pBdr>
          <w:bottom w:val="single" w:color="B08D3E" w:sz="6" w:space="4"/>
        </w:pBdr>
        <w:spacing w:after="160" w:before="360"/>
      </w:pPr>
      <w:r>
        <w:rPr>
          <w:rFonts w:ascii="Calibri" w:cs="Calibri" w:eastAsia="Calibri" w:hAnsi="Calibri"/>
          <w:b/>
          <w:bCs/>
          <w:color w:val="1B2A4A"/>
          <w:sz w:val="26"/>
          <w:szCs w:val="26"/>
        </w:rPr>
        <w:t xml:space="preserve">2. Objective</w:t>
      </w:r>
    </w:p>
    <w:p>
      <w:pPr>
        <w:spacing w:after="160" w:line="300"/>
        <w:jc w:val="both"/>
      </w:pPr>
      <w:r>
        <w:rPr>
          <w:rFonts w:ascii="Calibri" w:cs="Calibri" w:eastAsia="Calibri" w:hAnsi="Calibri"/>
          <w:sz w:val="21"/>
          <w:szCs w:val="21"/>
        </w:rPr>
        <w:t xml:space="preserve">To build an international community of Ambassadors that contributes to the positioning of AION Synapse Foundation through the dissemination of its initiatives, the generation of strategic partnerships, the exchange of knowledge, and the promotion of opportunities for research, innovation and international cooperation.</w:t>
      </w:r>
    </w:p>
    <w:p>
      <w:pPr>
        <w:pStyle w:val="Heading1"/>
        <w:pBdr>
          <w:bottom w:val="single" w:color="B08D3E" w:sz="6" w:space="4"/>
        </w:pBdr>
        <w:spacing w:after="160" w:before="360"/>
      </w:pPr>
      <w:r>
        <w:rPr>
          <w:rFonts w:ascii="Calibri" w:cs="Calibri" w:eastAsia="Calibri" w:hAnsi="Calibri"/>
          <w:b/>
          <w:bCs/>
          <w:color w:val="1B2A4A"/>
          <w:sz w:val="26"/>
          <w:szCs w:val="26"/>
        </w:rPr>
        <w:t xml:space="preserve">3. Applicable Regulatory Framework</w:t>
      </w:r>
    </w:p>
    <w:p>
      <w:pPr>
        <w:spacing w:after="160" w:line="300"/>
        <w:jc w:val="both"/>
      </w:pPr>
      <w:r>
        <w:rPr>
          <w:rFonts w:ascii="Calibri" w:cs="Calibri" w:eastAsia="Calibri" w:hAnsi="Calibri"/>
          <w:sz w:val="21"/>
          <w:szCs w:val="21"/>
        </w:rPr>
        <w:t xml:space="preserve">This Programme is governed, in order of precedence, by: (i) the Charter and By-laws of AION Synapse Foundation; (ii) the AION Impact Recognition Framework (AIRF), the cross-cutting institutional framework governing the recognition of contributions across the entire AION ecosystem; (iii) these Regulations of the Global Ambassador Programme; and (iv) any further operational documents issued in their development.</w:t>
      </w:r>
    </w:p>
    <w:p>
      <w:pPr>
        <w:spacing w:after="160" w:line="300"/>
        <w:jc w:val="both"/>
      </w:pPr>
      <w:r>
        <w:rPr>
          <w:rFonts w:ascii="Calibri" w:cs="Calibri" w:eastAsia="Calibri" w:hAnsi="Calibri"/>
          <w:sz w:val="21"/>
          <w:szCs w:val="21"/>
        </w:rPr>
        <w:t xml:space="preserve">The categories of recognized contributions, the assessment methodology and the recognition mechanisms applicable to Ambassadors are those set out in the AIRF (Section 6 et seq.) and are not restated in this document except where a specificity of the Ambassador role so requires.</w:t>
      </w:r>
    </w:p>
    <w:p>
      <w:pPr>
        <w:spacing w:after="160" w:line="300"/>
        <w:jc w:val="both"/>
      </w:pPr>
      <w:r>
        <w:rPr>
          <w:rFonts w:ascii="Calibri" w:cs="Calibri" w:eastAsia="Calibri" w:hAnsi="Calibri"/>
          <w:sz w:val="21"/>
          <w:szCs w:val="21"/>
        </w:rPr>
        <w:t xml:space="preserve">Any decision involving a financial commitment exceeding USD 25,000 connected to the Programme constitutes a Reserved Matter under the Foundation's By-laws and requires unanimous approval of the Council and the prior written consent of the Guardian.</w:t>
      </w:r>
    </w:p>
    <w:p>
      <w:pPr>
        <w:pStyle w:val="Heading1"/>
        <w:pBdr>
          <w:bottom w:val="single" w:color="B08D3E" w:sz="6" w:space="4"/>
        </w:pBdr>
        <w:spacing w:after="160" w:before="360"/>
      </w:pPr>
      <w:r>
        <w:rPr>
          <w:rFonts w:ascii="Calibri" w:cs="Calibri" w:eastAsia="Calibri" w:hAnsi="Calibri"/>
          <w:b/>
          <w:bCs/>
          <w:color w:val="1B2A4A"/>
          <w:sz w:val="26"/>
          <w:szCs w:val="26"/>
        </w:rPr>
        <w:t xml:space="preserve">4. Ambassador Profile</w:t>
      </w:r>
    </w:p>
    <w:p>
      <w:pPr>
        <w:spacing w:after="160" w:line="300"/>
        <w:jc w:val="both"/>
      </w:pPr>
      <w:r>
        <w:rPr>
          <w:rFonts w:ascii="Calibri" w:cs="Calibri" w:eastAsia="Calibri" w:hAnsi="Calibri"/>
          <w:sz w:val="21"/>
          <w:szCs w:val="21"/>
        </w:rPr>
        <w:t xml:space="preserve">Individuals who can demonstrate a track record, leadership or capacity for influence in fields related to the Foundation's institutional mission may join the Programme.</w:t>
      </w:r>
    </w:p>
    <w:p>
      <w:pPr>
        <w:spacing w:after="160" w:line="300"/>
        <w:jc w:val="both"/>
      </w:pPr>
      <w:r>
        <w:rPr>
          <w:rFonts w:ascii="Calibri" w:cs="Calibri" w:eastAsia="Calibri" w:hAnsi="Calibri"/>
          <w:sz w:val="21"/>
          <w:szCs w:val="21"/>
        </w:rPr>
        <w:t xml:space="preserve">Eligible participants include, among others:</w:t>
      </w:r>
    </w:p>
    <w:p>
      <w:pPr>
        <w:pStyle w:val="ListParagraph"/>
        <w:numPr>
          <w:ilvl w:val="0"/>
          <w:numId w:val="2"/>
        </w:numPr>
        <w:spacing w:after="80"/>
      </w:pPr>
      <w:r>
        <w:rPr>
          <w:rFonts w:ascii="Calibri" w:cs="Calibri" w:eastAsia="Calibri" w:hAnsi="Calibri"/>
          <w:sz w:val="21"/>
          <w:szCs w:val="21"/>
        </w:rPr>
        <w:t xml:space="preserve">Researchers.</w:t>
      </w:r>
    </w:p>
    <w:p>
      <w:pPr>
        <w:pStyle w:val="ListParagraph"/>
        <w:numPr>
          <w:ilvl w:val="0"/>
          <w:numId w:val="2"/>
        </w:numPr>
        <w:spacing w:after="80"/>
      </w:pPr>
      <w:r>
        <w:rPr>
          <w:rFonts w:ascii="Calibri" w:cs="Calibri" w:eastAsia="Calibri" w:hAnsi="Calibri"/>
          <w:sz w:val="21"/>
          <w:szCs w:val="21"/>
        </w:rPr>
        <w:t xml:space="preserve">Science communicators.</w:t>
      </w:r>
    </w:p>
    <w:p>
      <w:pPr>
        <w:pStyle w:val="ListParagraph"/>
        <w:numPr>
          <w:ilvl w:val="0"/>
          <w:numId w:val="2"/>
        </w:numPr>
        <w:spacing w:after="80"/>
      </w:pPr>
      <w:r>
        <w:rPr>
          <w:rFonts w:ascii="Calibri" w:cs="Calibri" w:eastAsia="Calibri" w:hAnsi="Calibri"/>
          <w:sz w:val="21"/>
          <w:szCs w:val="21"/>
        </w:rPr>
        <w:t xml:space="preserve">Content creators.</w:t>
      </w:r>
    </w:p>
    <w:p>
      <w:pPr>
        <w:pStyle w:val="ListParagraph"/>
        <w:numPr>
          <w:ilvl w:val="0"/>
          <w:numId w:val="2"/>
        </w:numPr>
        <w:spacing w:after="80"/>
      </w:pPr>
      <w:r>
        <w:rPr>
          <w:rFonts w:ascii="Calibri" w:cs="Calibri" w:eastAsia="Calibri" w:hAnsi="Calibri"/>
          <w:sz w:val="21"/>
          <w:szCs w:val="21"/>
        </w:rPr>
        <w:t xml:space="preserve">Specialized journalists.</w:t>
      </w:r>
    </w:p>
    <w:p>
      <w:pPr>
        <w:pStyle w:val="ListParagraph"/>
        <w:numPr>
          <w:ilvl w:val="0"/>
          <w:numId w:val="2"/>
        </w:numPr>
        <w:spacing w:after="80"/>
      </w:pPr>
      <w:r>
        <w:rPr>
          <w:rFonts w:ascii="Calibri" w:cs="Calibri" w:eastAsia="Calibri" w:hAnsi="Calibri"/>
          <w:sz w:val="21"/>
          <w:szCs w:val="21"/>
        </w:rPr>
        <w:t xml:space="preserve">Communicators.</w:t>
      </w:r>
    </w:p>
    <w:p>
      <w:pPr>
        <w:pStyle w:val="ListParagraph"/>
        <w:numPr>
          <w:ilvl w:val="0"/>
          <w:numId w:val="2"/>
        </w:numPr>
        <w:spacing w:after="80"/>
      </w:pPr>
      <w:r>
        <w:rPr>
          <w:rFonts w:ascii="Calibri" w:cs="Calibri" w:eastAsia="Calibri" w:hAnsi="Calibri"/>
          <w:sz w:val="21"/>
          <w:szCs w:val="21"/>
        </w:rPr>
        <w:t xml:space="preserve">Technology sector professionals.</w:t>
      </w:r>
    </w:p>
    <w:p>
      <w:pPr>
        <w:pStyle w:val="ListParagraph"/>
        <w:numPr>
          <w:ilvl w:val="0"/>
          <w:numId w:val="2"/>
        </w:numPr>
        <w:spacing w:after="80"/>
      </w:pPr>
      <w:r>
        <w:rPr>
          <w:rFonts w:ascii="Calibri" w:cs="Calibri" w:eastAsia="Calibri" w:hAnsi="Calibri"/>
          <w:sz w:val="21"/>
          <w:szCs w:val="21"/>
        </w:rPr>
        <w:t xml:space="preserve">Entrepreneurs.</w:t>
      </w:r>
    </w:p>
    <w:p>
      <w:pPr>
        <w:pStyle w:val="ListParagraph"/>
        <w:numPr>
          <w:ilvl w:val="0"/>
          <w:numId w:val="2"/>
        </w:numPr>
        <w:spacing w:after="80"/>
      </w:pPr>
      <w:r>
        <w:rPr>
          <w:rFonts w:ascii="Calibri" w:cs="Calibri" w:eastAsia="Calibri" w:hAnsi="Calibri"/>
          <w:sz w:val="21"/>
          <w:szCs w:val="21"/>
        </w:rPr>
        <w:t xml:space="preserve">Academics.</w:t>
      </w:r>
    </w:p>
    <w:p>
      <w:pPr>
        <w:pStyle w:val="ListParagraph"/>
        <w:numPr>
          <w:ilvl w:val="0"/>
          <w:numId w:val="2"/>
        </w:numPr>
        <w:spacing w:after="80"/>
      </w:pPr>
      <w:r>
        <w:rPr>
          <w:rFonts w:ascii="Calibri" w:cs="Calibri" w:eastAsia="Calibri" w:hAnsi="Calibri"/>
          <w:sz w:val="21"/>
          <w:szCs w:val="21"/>
        </w:rPr>
        <w:t xml:space="preserve">International cooperation specialists.</w:t>
      </w:r>
    </w:p>
    <w:p>
      <w:pPr>
        <w:pStyle w:val="ListParagraph"/>
        <w:numPr>
          <w:ilvl w:val="0"/>
          <w:numId w:val="2"/>
        </w:numPr>
        <w:spacing w:after="80"/>
      </w:pPr>
      <w:r>
        <w:rPr>
          <w:rFonts w:ascii="Calibri" w:cs="Calibri" w:eastAsia="Calibri" w:hAnsi="Calibri"/>
          <w:sz w:val="21"/>
          <w:szCs w:val="21"/>
        </w:rPr>
        <w:t xml:space="preserve">Social leaders.</w:t>
      </w:r>
    </w:p>
    <w:p>
      <w:pPr>
        <w:pStyle w:val="ListParagraph"/>
        <w:numPr>
          <w:ilvl w:val="0"/>
          <w:numId w:val="2"/>
        </w:numPr>
        <w:spacing w:after="80"/>
      </w:pPr>
      <w:r>
        <w:rPr>
          <w:rFonts w:ascii="Calibri" w:cs="Calibri" w:eastAsia="Calibri" w:hAnsi="Calibri"/>
          <w:sz w:val="21"/>
          <w:szCs w:val="21"/>
        </w:rPr>
        <w:t xml:space="preserve">Regional reference figures in science, innovation or development.</w:t>
      </w:r>
    </w:p>
    <w:p>
      <w:pPr>
        <w:spacing w:after="160" w:line="300"/>
        <w:jc w:val="both"/>
      </w:pPr>
      <w:r>
        <w:rPr>
          <w:rFonts w:ascii="Calibri" w:cs="Calibri" w:eastAsia="Calibri" w:hAnsi="Calibri"/>
          <w:sz w:val="21"/>
          <w:szCs w:val="21"/>
        </w:rPr>
        <w:t xml:space="preserve">Selection will prioritize the quality of the candidate's track record, commitment to institutional values, and potential contribution to the global AION ecosystem, rather than follower counts or social media reach.</w:t>
      </w:r>
    </w:p>
    <w:p>
      <w:pPr>
        <w:pStyle w:val="Heading1"/>
        <w:pBdr>
          <w:bottom w:val="single" w:color="B08D3E" w:sz="6" w:space="4"/>
        </w:pBdr>
        <w:spacing w:after="160" w:before="360"/>
      </w:pPr>
      <w:r>
        <w:rPr>
          <w:rFonts w:ascii="Calibri" w:cs="Calibri" w:eastAsia="Calibri" w:hAnsi="Calibri"/>
          <w:b/>
          <w:bCs/>
          <w:color w:val="1B2A4A"/>
          <w:sz w:val="26"/>
          <w:szCs w:val="26"/>
        </w:rPr>
        <w:t xml:space="preserve">5. Role of the Ambassador</w:t>
      </w:r>
    </w:p>
    <w:p>
      <w:pPr>
        <w:spacing w:after="160" w:line="300"/>
        <w:jc w:val="both"/>
      </w:pPr>
      <w:r>
        <w:rPr>
          <w:rFonts w:ascii="Calibri" w:cs="Calibri" w:eastAsia="Calibri" w:hAnsi="Calibri"/>
          <w:sz w:val="21"/>
          <w:szCs w:val="21"/>
        </w:rPr>
        <w:t xml:space="preserve">Ambassadors act as strategic allies of AION Synapse Foundation, voluntarily contributing to strengthening its institutional mission. Among other activities, they may:</w:t>
      </w:r>
    </w:p>
    <w:p>
      <w:pPr>
        <w:pStyle w:val="ListParagraph"/>
        <w:numPr>
          <w:ilvl w:val="0"/>
          <w:numId w:val="2"/>
        </w:numPr>
        <w:spacing w:after="80"/>
      </w:pPr>
      <w:r>
        <w:rPr>
          <w:rFonts w:ascii="Calibri" w:cs="Calibri" w:eastAsia="Calibri" w:hAnsi="Calibri"/>
          <w:sz w:val="21"/>
          <w:szCs w:val="21"/>
        </w:rPr>
        <w:t xml:space="preserve">Disseminate calls for applications and programmes.</w:t>
      </w:r>
    </w:p>
    <w:p>
      <w:pPr>
        <w:pStyle w:val="ListParagraph"/>
        <w:numPr>
          <w:ilvl w:val="0"/>
          <w:numId w:val="2"/>
        </w:numPr>
        <w:spacing w:after="80"/>
      </w:pPr>
      <w:r>
        <w:rPr>
          <w:rFonts w:ascii="Calibri" w:cs="Calibri" w:eastAsia="Calibri" w:hAnsi="Calibri"/>
          <w:sz w:val="21"/>
          <w:szCs w:val="21"/>
        </w:rPr>
        <w:t xml:space="preserve">Promote open science and international cooperation.</w:t>
      </w:r>
    </w:p>
    <w:p>
      <w:pPr>
        <w:pStyle w:val="ListParagraph"/>
        <w:numPr>
          <w:ilvl w:val="0"/>
          <w:numId w:val="2"/>
        </w:numPr>
        <w:spacing w:after="80"/>
      </w:pPr>
      <w:r>
        <w:rPr>
          <w:rFonts w:ascii="Calibri" w:cs="Calibri" w:eastAsia="Calibri" w:hAnsi="Calibri"/>
          <w:sz w:val="21"/>
          <w:szCs w:val="21"/>
        </w:rPr>
        <w:t xml:space="preserve">Showcase projects and results driven by AION.</w:t>
      </w:r>
    </w:p>
    <w:p>
      <w:pPr>
        <w:pStyle w:val="ListParagraph"/>
        <w:numPr>
          <w:ilvl w:val="0"/>
          <w:numId w:val="2"/>
        </w:numPr>
        <w:spacing w:after="80"/>
      </w:pPr>
      <w:r>
        <w:rPr>
          <w:rFonts w:ascii="Calibri" w:cs="Calibri" w:eastAsia="Calibri" w:hAnsi="Calibri"/>
          <w:sz w:val="21"/>
          <w:szCs w:val="21"/>
        </w:rPr>
        <w:t xml:space="preserve">Facilitate strategic partnerships.</w:t>
      </w:r>
    </w:p>
    <w:p>
      <w:pPr>
        <w:pStyle w:val="ListParagraph"/>
        <w:numPr>
          <w:ilvl w:val="0"/>
          <w:numId w:val="2"/>
        </w:numPr>
        <w:spacing w:after="80"/>
      </w:pPr>
      <w:r>
        <w:rPr>
          <w:rFonts w:ascii="Calibri" w:cs="Calibri" w:eastAsia="Calibri" w:hAnsi="Calibri"/>
          <w:sz w:val="21"/>
          <w:szCs w:val="21"/>
        </w:rPr>
        <w:t xml:space="preserve">Connect universities, companies and international organizations.</w:t>
      </w:r>
    </w:p>
    <w:p>
      <w:pPr>
        <w:pStyle w:val="ListParagraph"/>
        <w:numPr>
          <w:ilvl w:val="0"/>
          <w:numId w:val="2"/>
        </w:numPr>
        <w:spacing w:after="80"/>
      </w:pPr>
      <w:r>
        <w:rPr>
          <w:rFonts w:ascii="Calibri" w:cs="Calibri" w:eastAsia="Calibri" w:hAnsi="Calibri"/>
          <w:sz w:val="21"/>
          <w:szCs w:val="21"/>
        </w:rPr>
        <w:t xml:space="preserve">Participate in institutional campaigns.</w:t>
      </w:r>
    </w:p>
    <w:p>
      <w:pPr>
        <w:pStyle w:val="ListParagraph"/>
        <w:numPr>
          <w:ilvl w:val="0"/>
          <w:numId w:val="2"/>
        </w:numPr>
        <w:spacing w:after="80"/>
      </w:pPr>
      <w:r>
        <w:rPr>
          <w:rFonts w:ascii="Calibri" w:cs="Calibri" w:eastAsia="Calibri" w:hAnsi="Calibri"/>
          <w:sz w:val="21"/>
          <w:szCs w:val="21"/>
        </w:rPr>
        <w:t xml:space="preserve">Moderate events, webinars and specialized gatherings.</w:t>
      </w:r>
    </w:p>
    <w:p>
      <w:pPr>
        <w:pStyle w:val="ListParagraph"/>
        <w:numPr>
          <w:ilvl w:val="0"/>
          <w:numId w:val="2"/>
        </w:numPr>
        <w:spacing w:after="80"/>
      </w:pPr>
      <w:r>
        <w:rPr>
          <w:rFonts w:ascii="Calibri" w:cs="Calibri" w:eastAsia="Calibri" w:hAnsi="Calibri"/>
          <w:sz w:val="21"/>
          <w:szCs w:val="21"/>
        </w:rPr>
        <w:t xml:space="preserve">Represent AION institutionally when so designated.</w:t>
      </w:r>
    </w:p>
    <w:p>
      <w:pPr>
        <w:pStyle w:val="Heading1"/>
        <w:pBdr>
          <w:bottom w:val="single" w:color="B08D3E" w:sz="6" w:space="4"/>
        </w:pBdr>
        <w:spacing w:after="160" w:before="360"/>
      </w:pPr>
      <w:r>
        <w:rPr>
          <w:rFonts w:ascii="Calibri" w:cs="Calibri" w:eastAsia="Calibri" w:hAnsi="Calibri"/>
          <w:b/>
          <w:bCs/>
          <w:color w:val="1B2A4A"/>
          <w:sz w:val="26"/>
          <w:szCs w:val="26"/>
        </w:rPr>
        <w:t xml:space="preserve">6. Onboarding Process</w:t>
      </w:r>
    </w:p>
    <w:p>
      <w:pPr>
        <w:spacing w:after="160" w:line="300"/>
        <w:jc w:val="both"/>
      </w:pPr>
      <w:r>
        <w:rPr>
          <w:rFonts w:ascii="Calibri" w:cs="Calibri" w:eastAsia="Calibri" w:hAnsi="Calibri"/>
          <w:sz w:val="21"/>
          <w:szCs w:val="21"/>
        </w:rPr>
        <w:t xml:space="preserve">Admission to the Programme may originate from a direct application by the candidate or from an institutional nomination made by a current Ambassador, a Council Member, or designated Foundation staff.</w:t>
      </w:r>
    </w:p>
    <w:p>
      <w:pPr>
        <w:spacing w:after="160" w:line="300"/>
        <w:jc w:val="both"/>
      </w:pPr>
      <w:r>
        <w:rPr>
          <w:rFonts w:ascii="Calibri" w:cs="Calibri" w:eastAsia="Calibri" w:hAnsi="Calibri"/>
          <w:sz w:val="21"/>
          <w:szCs w:val="21"/>
        </w:rPr>
        <w:t xml:space="preserve">Every application or nomination is reviewed by the body designated by the Foundation to administer the AIRF (the “Recognition Committee”), in accordance with the profile criteria described in Section 4.</w:t>
      </w:r>
    </w:p>
    <w:p>
      <w:pPr>
        <w:spacing w:after="160" w:line="300"/>
        <w:jc w:val="both"/>
      </w:pPr>
      <w:r>
        <w:rPr>
          <w:rFonts w:ascii="Calibri" w:cs="Calibri" w:eastAsia="Calibri" w:hAnsi="Calibri"/>
          <w:sz w:val="21"/>
          <w:szCs w:val="21"/>
        </w:rPr>
        <w:t xml:space="preserve">Admission to the Programme does not constitute an automatic right. The Recognition Committee may accept, request additional information, or issue a reasoned rejection of an application or nomination, having regard to the coherence of the candidate's profile with the Foundation's institutional mission.</w:t>
      </w:r>
    </w:p>
    <w:p>
      <w:pPr>
        <w:spacing w:after="160" w:line="300"/>
        <w:jc w:val="both"/>
      </w:pPr>
      <w:r>
        <w:rPr>
          <w:rFonts w:ascii="Calibri" w:cs="Calibri" w:eastAsia="Calibri" w:hAnsi="Calibri"/>
          <w:sz w:val="21"/>
          <w:szCs w:val="21"/>
        </w:rPr>
        <w:t xml:space="preserve">Acceptance is formalized through an Official Appointment and the issuance of the corresponding Institutional Credential.</w:t>
      </w:r>
    </w:p>
    <w:p>
      <w:pPr>
        <w:pStyle w:val="Heading1"/>
        <w:pBdr>
          <w:bottom w:val="single" w:color="B08D3E" w:sz="6" w:space="4"/>
        </w:pBdr>
        <w:spacing w:after="160" w:before="360"/>
      </w:pPr>
      <w:r>
        <w:rPr>
          <w:rFonts w:ascii="Calibri" w:cs="Calibri" w:eastAsia="Calibri" w:hAnsi="Calibri"/>
          <w:b/>
          <w:bCs/>
          <w:color w:val="1B2A4A"/>
          <w:sz w:val="26"/>
          <w:szCs w:val="26"/>
        </w:rPr>
        <w:t xml:space="preserve">7. Benefits</w:t>
      </w:r>
    </w:p>
    <w:p>
      <w:pPr>
        <w:spacing w:after="160" w:line="300"/>
        <w:jc w:val="both"/>
      </w:pPr>
      <w:r>
        <w:rPr>
          <w:rFonts w:ascii="Calibri" w:cs="Calibri" w:eastAsia="Calibri" w:hAnsi="Calibri"/>
          <w:sz w:val="21"/>
          <w:szCs w:val="21"/>
        </w:rPr>
        <w:t xml:space="preserve">Selected individuals may access, among others, the following benefits:</w:t>
      </w:r>
    </w:p>
    <w:p>
      <w:pPr>
        <w:pStyle w:val="ListParagraph"/>
        <w:numPr>
          <w:ilvl w:val="0"/>
          <w:numId w:val="2"/>
        </w:numPr>
        <w:spacing w:after="80"/>
      </w:pPr>
      <w:r>
        <w:rPr>
          <w:rFonts w:ascii="Calibri" w:cs="Calibri" w:eastAsia="Calibri" w:hAnsi="Calibri"/>
          <w:sz w:val="21"/>
          <w:szCs w:val="21"/>
        </w:rPr>
        <w:t xml:space="preserve">Official Appointment as an Ambassador of AION Synapse Foundation.</w:t>
      </w:r>
    </w:p>
    <w:p>
      <w:pPr>
        <w:pStyle w:val="ListParagraph"/>
        <w:numPr>
          <w:ilvl w:val="0"/>
          <w:numId w:val="2"/>
        </w:numPr>
        <w:spacing w:after="80"/>
      </w:pPr>
      <w:r>
        <w:rPr>
          <w:rFonts w:ascii="Calibri" w:cs="Calibri" w:eastAsia="Calibri" w:hAnsi="Calibri"/>
          <w:sz w:val="21"/>
          <w:szCs w:val="21"/>
        </w:rPr>
        <w:t xml:space="preserve">Inclusion in the International Directory of Ambassadors.</w:t>
      </w:r>
    </w:p>
    <w:p>
      <w:pPr>
        <w:pStyle w:val="ListParagraph"/>
        <w:numPr>
          <w:ilvl w:val="0"/>
          <w:numId w:val="2"/>
        </w:numPr>
        <w:spacing w:after="80"/>
      </w:pPr>
      <w:r>
        <w:rPr>
          <w:rFonts w:ascii="Calibri" w:cs="Calibri" w:eastAsia="Calibri" w:hAnsi="Calibri"/>
          <w:sz w:val="21"/>
          <w:szCs w:val="21"/>
        </w:rPr>
        <w:t xml:space="preserve">Personalized institutional credential.</w:t>
      </w:r>
    </w:p>
    <w:p>
      <w:pPr>
        <w:pStyle w:val="ListParagraph"/>
        <w:numPr>
          <w:ilvl w:val="0"/>
          <w:numId w:val="2"/>
        </w:numPr>
        <w:spacing w:after="80"/>
      </w:pPr>
      <w:r>
        <w:rPr>
          <w:rFonts w:ascii="Calibri" w:cs="Calibri" w:eastAsia="Calibri" w:hAnsi="Calibri"/>
          <w:sz w:val="21"/>
          <w:szCs w:val="21"/>
        </w:rPr>
        <w:t xml:space="preserve">Official Certificate of Appointment.</w:t>
      </w:r>
    </w:p>
    <w:p>
      <w:pPr>
        <w:pStyle w:val="ListParagraph"/>
        <w:numPr>
          <w:ilvl w:val="0"/>
          <w:numId w:val="2"/>
        </w:numPr>
        <w:spacing w:after="80"/>
      </w:pPr>
      <w:r>
        <w:rPr>
          <w:rFonts w:ascii="Calibri" w:cs="Calibri" w:eastAsia="Calibri" w:hAnsi="Calibri"/>
          <w:sz w:val="21"/>
          <w:szCs w:val="21"/>
        </w:rPr>
        <w:t xml:space="preserve">Verified Digital Badge, in accordance with the system established under the AIRF.</w:t>
      </w:r>
    </w:p>
    <w:p>
      <w:pPr>
        <w:pStyle w:val="ListParagraph"/>
        <w:numPr>
          <w:ilvl w:val="0"/>
          <w:numId w:val="2"/>
        </w:numPr>
        <w:spacing w:after="80"/>
      </w:pPr>
      <w:r>
        <w:rPr>
          <w:rFonts w:ascii="Calibri" w:cs="Calibri" w:eastAsia="Calibri" w:hAnsi="Calibri"/>
          <w:sz w:val="21"/>
          <w:szCs w:val="21"/>
        </w:rPr>
        <w:t xml:space="preserve">Institutional profile on the AION website.</w:t>
      </w:r>
    </w:p>
    <w:p>
      <w:pPr>
        <w:pStyle w:val="ListParagraph"/>
        <w:numPr>
          <w:ilvl w:val="0"/>
          <w:numId w:val="2"/>
        </w:numPr>
        <w:spacing w:after="80"/>
      </w:pPr>
      <w:r>
        <w:rPr>
          <w:rFonts w:ascii="Calibri" w:cs="Calibri" w:eastAsia="Calibri" w:hAnsi="Calibri"/>
          <w:sz w:val="21"/>
          <w:szCs w:val="21"/>
        </w:rPr>
        <w:t xml:space="preserve">Priority participation in exclusive events and activities.</w:t>
      </w:r>
    </w:p>
    <w:p>
      <w:pPr>
        <w:pStyle w:val="ListParagraph"/>
        <w:numPr>
          <w:ilvl w:val="0"/>
          <w:numId w:val="2"/>
        </w:numPr>
        <w:spacing w:after="80"/>
      </w:pPr>
      <w:r>
        <w:rPr>
          <w:rFonts w:ascii="Calibri" w:cs="Calibri" w:eastAsia="Calibri" w:hAnsi="Calibri"/>
          <w:sz w:val="21"/>
          <w:szCs w:val="21"/>
        </w:rPr>
        <w:t xml:space="preserve">Preferred access to future calls for applications and programmes.</w:t>
      </w:r>
    </w:p>
    <w:p>
      <w:pPr>
        <w:pStyle w:val="ListParagraph"/>
        <w:numPr>
          <w:ilvl w:val="0"/>
          <w:numId w:val="2"/>
        </w:numPr>
        <w:spacing w:after="80"/>
      </w:pPr>
      <w:r>
        <w:rPr>
          <w:rFonts w:ascii="Calibri" w:cs="Calibri" w:eastAsia="Calibri" w:hAnsi="Calibri"/>
          <w:sz w:val="21"/>
          <w:szCs w:val="21"/>
        </w:rPr>
        <w:t xml:space="preserve">Potential consideration for inclusion in the International Register of Experts, or to serve as a mentor, evaluator, or member of scientific committees, where the candidate's profile so permits.</w:t>
      </w:r>
    </w:p>
    <w:p>
      <w:pPr>
        <w:pStyle w:val="ListParagraph"/>
        <w:numPr>
          <w:ilvl w:val="0"/>
          <w:numId w:val="2"/>
        </w:numPr>
        <w:spacing w:after="80"/>
      </w:pPr>
      <w:r>
        <w:rPr>
          <w:rFonts w:ascii="Calibri" w:cs="Calibri" w:eastAsia="Calibri" w:hAnsi="Calibri"/>
          <w:sz w:val="21"/>
          <w:szCs w:val="21"/>
        </w:rPr>
        <w:t xml:space="preserve">Institutional recognition for outstanding contributions.</w:t>
      </w:r>
    </w:p>
    <w:p>
      <w:pPr>
        <w:pStyle w:val="Heading1"/>
        <w:pBdr>
          <w:bottom w:val="single" w:color="B08D3E" w:sz="6" w:space="4"/>
        </w:pBdr>
        <w:spacing w:after="160" w:before="360"/>
      </w:pPr>
      <w:r>
        <w:rPr>
          <w:rFonts w:ascii="Calibri" w:cs="Calibri" w:eastAsia="Calibri" w:hAnsi="Calibri"/>
          <w:b/>
          <w:bCs/>
          <w:color w:val="1B2A4A"/>
          <w:sz w:val="26"/>
          <w:szCs w:val="26"/>
        </w:rPr>
        <w:t xml:space="preserve">8. Levels of Participation</w:t>
      </w:r>
    </w:p>
    <w:p>
      <w:pPr>
        <w:spacing w:after="160" w:line="300"/>
        <w:jc w:val="both"/>
      </w:pPr>
      <w:r>
        <w:rPr>
          <w:rFonts w:ascii="Calibri" w:cs="Calibri" w:eastAsia="Calibri" w:hAnsi="Calibri"/>
          <w:sz w:val="21"/>
          <w:szCs w:val="21"/>
        </w:rPr>
        <w:t xml:space="preserve">In order to recognize the track record and impact of its members, the Programme establishes the following levels of participation:</w:t>
      </w:r>
    </w:p>
    <w:p>
      <w:pPr>
        <w:spacing w:after="80" w:before="160"/>
      </w:pPr>
      <w:r>
        <w:rPr>
          <w:rFonts w:ascii="Calibri" w:cs="Calibri" w:eastAsia="Calibri" w:hAnsi="Calibri"/>
          <w:b/>
          <w:bCs/>
          <w:color w:val="B08D3E"/>
          <w:sz w:val="20"/>
          <w:szCs w:val="20"/>
        </w:rPr>
        <w:t xml:space="preserve">AION Ambassador</w:t>
      </w:r>
    </w:p>
    <w:p>
      <w:pPr>
        <w:spacing w:after="160" w:line="300"/>
        <w:jc w:val="both"/>
      </w:pPr>
      <w:r>
        <w:rPr>
          <w:rFonts w:ascii="Calibri" w:cs="Calibri" w:eastAsia="Calibri" w:hAnsi="Calibri"/>
          <w:sz w:val="21"/>
          <w:szCs w:val="21"/>
        </w:rPr>
        <w:t xml:space="preserve">Entry-level status within the Programme.</w:t>
      </w:r>
    </w:p>
    <w:p>
      <w:pPr>
        <w:spacing w:after="80" w:before="160"/>
      </w:pPr>
      <w:r>
        <w:rPr>
          <w:rFonts w:ascii="Calibri" w:cs="Calibri" w:eastAsia="Calibri" w:hAnsi="Calibri"/>
          <w:b/>
          <w:bCs/>
          <w:color w:val="B08D3E"/>
          <w:sz w:val="20"/>
          <w:szCs w:val="20"/>
        </w:rPr>
        <w:t xml:space="preserve">Senior Ambassador</w:t>
      </w:r>
    </w:p>
    <w:p>
      <w:pPr>
        <w:spacing w:after="160" w:line="300"/>
        <w:jc w:val="both"/>
      </w:pPr>
      <w:r>
        <w:rPr>
          <w:rFonts w:ascii="Calibri" w:cs="Calibri" w:eastAsia="Calibri" w:hAnsi="Calibri"/>
          <w:sz w:val="21"/>
          <w:szCs w:val="21"/>
        </w:rPr>
        <w:t xml:space="preserve">Recognition for those who maintain consistent, sustained collaboration.</w:t>
      </w:r>
    </w:p>
    <w:p>
      <w:pPr>
        <w:spacing w:after="80" w:before="160"/>
      </w:pPr>
      <w:r>
        <w:rPr>
          <w:rFonts w:ascii="Calibri" w:cs="Calibri" w:eastAsia="Calibri" w:hAnsi="Calibri"/>
          <w:b/>
          <w:bCs/>
          <w:color w:val="B08D3E"/>
          <w:sz w:val="20"/>
          <w:szCs w:val="20"/>
        </w:rPr>
        <w:t xml:space="preserve">Lead Ambassador</w:t>
      </w:r>
    </w:p>
    <w:p>
      <w:pPr>
        <w:spacing w:after="160" w:line="300"/>
        <w:jc w:val="both"/>
      </w:pPr>
      <w:r>
        <w:rPr>
          <w:rFonts w:ascii="Calibri" w:cs="Calibri" w:eastAsia="Calibri" w:hAnsi="Calibri"/>
          <w:sz w:val="21"/>
          <w:szCs w:val="21"/>
        </w:rPr>
        <w:t xml:space="preserve">Ambassadors who lead initiatives, projects or communities.</w:t>
      </w:r>
    </w:p>
    <w:p>
      <w:pPr>
        <w:spacing w:after="80" w:before="160"/>
      </w:pPr>
      <w:r>
        <w:rPr>
          <w:rFonts w:ascii="Calibri" w:cs="Calibri" w:eastAsia="Calibri" w:hAnsi="Calibri"/>
          <w:b/>
          <w:bCs/>
          <w:color w:val="B08D3E"/>
          <w:sz w:val="20"/>
          <w:szCs w:val="20"/>
        </w:rPr>
        <w:t xml:space="preserve">Regional Ambassador</w:t>
      </w:r>
    </w:p>
    <w:p>
      <w:pPr>
        <w:spacing w:after="160" w:line="300"/>
        <w:jc w:val="both"/>
      </w:pPr>
      <w:r>
        <w:rPr>
          <w:rFonts w:ascii="Calibri" w:cs="Calibri" w:eastAsia="Calibri" w:hAnsi="Calibri"/>
          <w:sz w:val="21"/>
          <w:szCs w:val="21"/>
        </w:rPr>
        <w:t xml:space="preserve">Institutional representatives for a geographic region or thematic area.</w:t>
      </w:r>
    </w:p>
    <w:p>
      <w:pPr>
        <w:spacing w:after="80" w:before="160"/>
      </w:pPr>
      <w:r>
        <w:rPr>
          <w:rFonts w:ascii="Calibri" w:cs="Calibri" w:eastAsia="Calibri" w:hAnsi="Calibri"/>
          <w:b/>
          <w:bCs/>
          <w:color w:val="B08D3E"/>
          <w:sz w:val="20"/>
          <w:szCs w:val="20"/>
        </w:rPr>
        <w:t xml:space="preserve">Global Ambassador</w:t>
      </w:r>
    </w:p>
    <w:p>
      <w:pPr>
        <w:spacing w:after="160" w:line="300"/>
        <w:jc w:val="both"/>
      </w:pPr>
      <w:r>
        <w:rPr>
          <w:rFonts w:ascii="Calibri" w:cs="Calibri" w:eastAsia="Calibri" w:hAnsi="Calibri"/>
          <w:sz w:val="21"/>
          <w:szCs w:val="21"/>
        </w:rPr>
        <w:t xml:space="preserve">The Programme's highest distinction, reserved for individuals with exceptional contributions to the international strengthening of AION Synapse Foundation.</w:t>
      </w:r>
    </w:p>
    <w:p>
      <w:pPr>
        <w:spacing w:after="80" w:before="160"/>
      </w:pPr>
      <w:r>
        <w:rPr>
          <w:rFonts w:ascii="Calibri" w:cs="Calibri" w:eastAsia="Calibri" w:hAnsi="Calibri"/>
          <w:b/>
          <w:bCs/>
          <w:color w:val="B08D3E"/>
          <w:sz w:val="20"/>
          <w:szCs w:val="20"/>
        </w:rPr>
        <w:t xml:space="preserve">Founding Global Ambassador</w:t>
      </w:r>
    </w:p>
    <w:p>
      <w:pPr>
        <w:spacing w:after="160" w:line="300"/>
        <w:jc w:val="both"/>
      </w:pPr>
      <w:r>
        <w:rPr>
          <w:rFonts w:ascii="Calibri" w:cs="Calibri" w:eastAsia="Calibri" w:hAnsi="Calibri"/>
          <w:sz w:val="21"/>
          <w:szCs w:val="21"/>
        </w:rPr>
        <w:t xml:space="preserve">An additional honorary distinction layered on the Global Ambassador level, reserved exclusively for members of the Inaugural Cohort of AION Founding Global Ambassadors, constituted through personal invitations issued by the Chairman of the Council during 2026.</w:t>
      </w:r>
    </w:p>
    <w:p>
      <w:pPr>
        <w:spacing w:after="160" w:line="300"/>
        <w:jc w:val="both"/>
      </w:pPr>
      <w:r>
        <w:rPr>
          <w:rFonts w:ascii="Calibri" w:cs="Calibri" w:eastAsia="Calibri" w:hAnsi="Calibri"/>
          <w:sz w:val="21"/>
          <w:szCs w:val="21"/>
        </w:rPr>
        <w:t xml:space="preserve">The status of Founding Global Ambassador is granted for life once formalized through an Institutional Resolution of the Council, is not subject to the AIRF's ordinary periodic assessment process, and is not extended to any admission occurring after the Inaugural Cohort is closed.</w:t>
      </w:r>
    </w:p>
    <w:p>
      <w:pPr>
        <w:spacing w:after="160" w:line="300"/>
        <w:jc w:val="both"/>
      </w:pPr>
      <w:r>
        <w:rPr>
          <w:rFonts w:ascii="Calibri" w:cs="Calibri" w:eastAsia="Calibri" w:hAnsi="Calibri"/>
          <w:sz w:val="21"/>
          <w:szCs w:val="21"/>
        </w:rPr>
        <w:t xml:space="preserve">Transition between the remaining levels is determined in accordance with the AIRF's Contribution Assessment Methodology (Section 7) and does not depend on automatic seniority or on popularity.</w:t>
      </w:r>
    </w:p>
    <w:p>
      <w:pPr>
        <w:pStyle w:val="Heading1"/>
        <w:pBdr>
          <w:bottom w:val="single" w:color="B08D3E" w:sz="6" w:space="4"/>
        </w:pBdr>
        <w:spacing w:after="160" w:before="360"/>
      </w:pPr>
      <w:r>
        <w:rPr>
          <w:rFonts w:ascii="Calibri" w:cs="Calibri" w:eastAsia="Calibri" w:hAnsi="Calibri"/>
          <w:b/>
          <w:bCs/>
          <w:color w:val="1B2A4A"/>
          <w:sz w:val="26"/>
          <w:szCs w:val="26"/>
        </w:rPr>
        <w:t xml:space="preserve">9. Recognition and Impact Portfolio</w:t>
      </w:r>
    </w:p>
    <w:p>
      <w:pPr>
        <w:spacing w:after="160" w:line="300"/>
        <w:jc w:val="both"/>
      </w:pPr>
      <w:r>
        <w:rPr>
          <w:rFonts w:ascii="Calibri" w:cs="Calibri" w:eastAsia="Calibri" w:hAnsi="Calibri"/>
          <w:sz w:val="21"/>
          <w:szCs w:val="21"/>
        </w:rPr>
        <w:t xml:space="preserve">Each Ambassador holds an Impact Portfolio, integrated into the Institutional Impact Portfolio governed by the AIRF, recording the principal contributions made during their participation in the Programme (calls for applications promoted, universities engaged, experts onboarded, webinars delivered, publications produced, events represented, partnerships facilitated, companies engaged, projects driven, and initiatives led).</w:t>
      </w:r>
    </w:p>
    <w:p>
      <w:pPr>
        <w:spacing w:after="160" w:line="300"/>
        <w:jc w:val="both"/>
      </w:pPr>
      <w:r>
        <w:rPr>
          <w:rFonts w:ascii="Calibri" w:cs="Calibri" w:eastAsia="Calibri" w:hAnsi="Calibri"/>
          <w:sz w:val="21"/>
          <w:szCs w:val="21"/>
        </w:rPr>
        <w:t xml:space="preserve">This portfolio is the principal instrument for recognizing merit and assessing each Ambassador's progression within the Programme, and is administered in accordance with the procedures set out in the AIRF.</w:t>
      </w:r>
    </w:p>
    <w:p>
      <w:pPr>
        <w:pStyle w:val="Heading1"/>
        <w:pBdr>
          <w:bottom w:val="single" w:color="B08D3E" w:sz="6" w:space="4"/>
        </w:pBdr>
        <w:spacing w:after="160" w:before="360"/>
      </w:pPr>
      <w:r>
        <w:rPr>
          <w:rFonts w:ascii="Calibri" w:cs="Calibri" w:eastAsia="Calibri" w:hAnsi="Calibri"/>
          <w:b/>
          <w:bCs/>
          <w:color w:val="1B2A4A"/>
          <w:sz w:val="26"/>
          <w:szCs w:val="26"/>
        </w:rPr>
        <w:t xml:space="preserve">10. Term, Inactivity and Revocation</w:t>
      </w:r>
    </w:p>
    <w:p>
      <w:pPr>
        <w:spacing w:after="160" w:line="300"/>
        <w:jc w:val="both"/>
      </w:pPr>
      <w:r>
        <w:rPr>
          <w:rFonts w:ascii="Calibri" w:cs="Calibri" w:eastAsia="Calibri" w:hAnsi="Calibri"/>
          <w:sz w:val="21"/>
          <w:szCs w:val="21"/>
        </w:rPr>
        <w:t xml:space="preserve">Ambassador status is granted for an indefinite term, subject to periodic review by the Recognition Committee.</w:t>
      </w:r>
    </w:p>
    <w:p>
      <w:pPr>
        <w:spacing w:after="160" w:line="300"/>
        <w:jc w:val="both"/>
      </w:pPr>
      <w:r>
        <w:rPr>
          <w:rFonts w:ascii="Calibri" w:cs="Calibri" w:eastAsia="Calibri" w:hAnsi="Calibri"/>
          <w:sz w:val="21"/>
          <w:szCs w:val="21"/>
        </w:rPr>
        <w:t xml:space="preserve">Ambassador status may be suspended or revoked in the following circumstances:</w:t>
      </w:r>
    </w:p>
    <w:p>
      <w:pPr>
        <w:pStyle w:val="ListParagraph"/>
        <w:numPr>
          <w:ilvl w:val="0"/>
          <w:numId w:val="2"/>
        </w:numPr>
        <w:spacing w:after="80"/>
      </w:pPr>
      <w:r>
        <w:rPr>
          <w:rFonts w:ascii="Calibri" w:cs="Calibri" w:eastAsia="Calibri" w:hAnsi="Calibri"/>
          <w:sz w:val="21"/>
          <w:szCs w:val="21"/>
        </w:rPr>
        <w:t xml:space="preserve">Misuse of the name, brand, logos or institutional representation of AION Synapse Foundation.</w:t>
      </w:r>
    </w:p>
    <w:p>
      <w:pPr>
        <w:pStyle w:val="ListParagraph"/>
        <w:numPr>
          <w:ilvl w:val="0"/>
          <w:numId w:val="2"/>
        </w:numPr>
        <w:spacing w:after="80"/>
      </w:pPr>
      <w:r>
        <w:rPr>
          <w:rFonts w:ascii="Calibri" w:cs="Calibri" w:eastAsia="Calibri" w:hAnsi="Calibri"/>
          <w:sz w:val="21"/>
          <w:szCs w:val="21"/>
        </w:rPr>
        <w:t xml:space="preserve">Conduct contrary to the Foundation's institutional values or to the principles established in the AIRF.</w:t>
      </w:r>
    </w:p>
    <w:p>
      <w:pPr>
        <w:pStyle w:val="ListParagraph"/>
        <w:numPr>
          <w:ilvl w:val="0"/>
          <w:numId w:val="2"/>
        </w:numPr>
        <w:spacing w:after="80"/>
      </w:pPr>
      <w:r>
        <w:rPr>
          <w:rFonts w:ascii="Calibri" w:cs="Calibri" w:eastAsia="Calibri" w:hAnsi="Calibri"/>
          <w:sz w:val="21"/>
          <w:szCs w:val="21"/>
        </w:rPr>
        <w:t xml:space="preserve">Prolonged inactivity, understood as a sustained absence of documented contributions to the Impact Portfolio during the period determined by the Recognition Committee.</w:t>
      </w:r>
    </w:p>
    <w:p>
      <w:pPr>
        <w:pStyle w:val="ListParagraph"/>
        <w:numPr>
          <w:ilvl w:val="0"/>
          <w:numId w:val="2"/>
        </w:numPr>
        <w:spacing w:after="80"/>
      </w:pPr>
      <w:r>
        <w:rPr>
          <w:rFonts w:ascii="Calibri" w:cs="Calibri" w:eastAsia="Calibri" w:hAnsi="Calibri"/>
          <w:sz w:val="21"/>
          <w:szCs w:val="21"/>
        </w:rPr>
        <w:t xml:space="preserve">Voluntary request for withdrawal by the Ambassador.</w:t>
      </w:r>
    </w:p>
    <w:p>
      <w:pPr>
        <w:pStyle w:val="ListParagraph"/>
        <w:numPr>
          <w:ilvl w:val="0"/>
          <w:numId w:val="2"/>
        </w:numPr>
        <w:spacing w:after="80"/>
      </w:pPr>
      <w:r>
        <w:rPr>
          <w:rFonts w:ascii="Calibri" w:cs="Calibri" w:eastAsia="Calibri" w:hAnsi="Calibri"/>
          <w:sz w:val="21"/>
          <w:szCs w:val="21"/>
        </w:rPr>
        <w:t xml:space="preserve">Breach of the conditions set out in these Regulations.</w:t>
      </w:r>
    </w:p>
    <w:p>
      <w:pPr>
        <w:spacing w:after="160" w:line="300"/>
        <w:jc w:val="both"/>
      </w:pPr>
      <w:r>
        <w:rPr>
          <w:rFonts w:ascii="Calibri" w:cs="Calibri" w:eastAsia="Calibri" w:hAnsi="Calibri"/>
          <w:sz w:val="21"/>
          <w:szCs w:val="21"/>
        </w:rPr>
        <w:t xml:space="preserve">Revocation shall be communicated to the Ambassador with reasons stated, and shall entail removal from the International Directory of Ambassadors and deactivation of the corresponding Verified Digital Badge on the public registry.</w:t>
      </w:r>
    </w:p>
    <w:p>
      <w:pPr>
        <w:pStyle w:val="Heading1"/>
        <w:pBdr>
          <w:bottom w:val="single" w:color="B08D3E" w:sz="6" w:space="4"/>
        </w:pBdr>
        <w:spacing w:after="160" w:before="360"/>
      </w:pPr>
      <w:r>
        <w:rPr>
          <w:rFonts w:ascii="Calibri" w:cs="Calibri" w:eastAsia="Calibri" w:hAnsi="Calibri"/>
          <w:b/>
          <w:bCs/>
          <w:color w:val="1B2A4A"/>
          <w:sz w:val="26"/>
          <w:szCs w:val="26"/>
        </w:rPr>
        <w:t xml:space="preserve">11. Nature of Participation</w:t>
      </w:r>
    </w:p>
    <w:p>
      <w:pPr>
        <w:spacing w:after="160" w:line="300"/>
        <w:jc w:val="both"/>
      </w:pPr>
      <w:r>
        <w:rPr>
          <w:rFonts w:ascii="Calibri" w:cs="Calibri" w:eastAsia="Calibri" w:hAnsi="Calibri"/>
          <w:sz w:val="21"/>
          <w:szCs w:val="21"/>
        </w:rPr>
        <w:t xml:space="preserve">Participation is voluntary and honorary. Appointment as an Ambassador does not create any employment, contractual, or legal representation relationship with AION Synapse Foundation.</w:t>
      </w:r>
    </w:p>
    <w:p>
      <w:pPr>
        <w:pStyle w:val="Heading1"/>
        <w:pBdr>
          <w:bottom w:val="single" w:color="B08D3E" w:sz="6" w:space="4"/>
        </w:pBdr>
        <w:spacing w:after="160" w:before="360"/>
      </w:pPr>
      <w:r>
        <w:rPr>
          <w:rFonts w:ascii="Calibri" w:cs="Calibri" w:eastAsia="Calibri" w:hAnsi="Calibri"/>
          <w:b/>
          <w:bCs/>
          <w:color w:val="1B2A4A"/>
          <w:sz w:val="26"/>
          <w:szCs w:val="26"/>
        </w:rPr>
        <w:t xml:space="preserve">12. Final Provisions</w:t>
      </w:r>
    </w:p>
    <w:p>
      <w:pPr>
        <w:spacing w:after="160" w:line="300"/>
        <w:jc w:val="both"/>
      </w:pPr>
      <w:r>
        <w:rPr>
          <w:rFonts w:ascii="Calibri" w:cs="Calibri" w:eastAsia="Calibri" w:hAnsi="Calibri"/>
          <w:sz w:val="21"/>
          <w:szCs w:val="21"/>
        </w:rPr>
        <w:t xml:space="preserve">The Global Ambassador Programme represents an international community built on collaboration, knowledge and a shared commitment to sustainable development.</w:t>
      </w:r>
    </w:p>
    <w:p>
      <w:pPr>
        <w:spacing w:after="160" w:line="300"/>
        <w:jc w:val="both"/>
      </w:pPr>
      <w:r>
        <w:rPr>
          <w:rFonts w:ascii="Calibri" w:cs="Calibri" w:eastAsia="Calibri" w:hAnsi="Calibri"/>
          <w:sz w:val="21"/>
          <w:szCs w:val="21"/>
        </w:rPr>
        <w:t xml:space="preserve">AION Synapse Foundation shall promote permanent spaces for interaction, learning and recognition, strengthening a global network of individuals who, across disciplines, sectors and regions, actively contribute to fulfilling the Foundation's institutional mission.</w:t>
      </w:r>
    </w:p>
    <w:p>
      <w:pPr>
        <w:pStyle w:val="Heading2"/>
        <w:spacing w:after="120" w:before="240"/>
      </w:pPr>
      <w:r>
        <w:rPr>
          <w:rFonts w:ascii="Calibri" w:cs="Calibri" w:eastAsia="Calibri" w:hAnsi="Calibri"/>
          <w:b/>
          <w:bCs/>
          <w:color w:val="1B2A4A"/>
          <w:sz w:val="22"/>
          <w:szCs w:val="22"/>
        </w:rPr>
        <w:t xml:space="preserve">Vision of the Programme</w:t>
      </w:r>
    </w:p>
    <w:p>
      <w:pPr>
        <w:pBdr>
          <w:left w:val="single" w:color="B08D3E" w:sz="12" w:space="8"/>
        </w:pBdr>
        <w:spacing w:after="200" w:before="200"/>
        <w:ind w:left="600" w:right="600"/>
        <w:jc w:val="center"/>
      </w:pPr>
      <w:r>
        <w:rPr>
          <w:rFonts w:ascii="Calibri" w:cs="Calibri" w:eastAsia="Calibri" w:hAnsi="Calibri"/>
          <w:b/>
          <w:bCs/>
          <w:i/>
          <w:iCs/>
          <w:color w:val="1B2A4A"/>
          <w:sz w:val="22"/>
          <w:szCs w:val="22"/>
        </w:rPr>
        <w:t xml:space="preserve">“To build the largest international community of ambassadors for science, innovation and cooperation, where recognition is measured not by popularity, but by impact, collaboration, and genuine contributions to the advancement of knowledge and sustainable development.”</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2026-07-17T08:04:38.154Z</dcterms:created>
  <dcterms:modified xsi:type="dcterms:W3CDTF">2026-07-17T08:04:38.166Z</dcterms:modified>
</cp:coreProperties>
</file>

<file path=docProps/custom.xml><?xml version="1.0" encoding="utf-8"?>
<Properties xmlns="http://schemas.openxmlformats.org/officeDocument/2006/custom-properties" xmlns:vt="http://schemas.openxmlformats.org/officeDocument/2006/docPropsVTypes"/>
</file>